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07FD4" w:rsidRPr="00307FD4" w:rsidRDefault="00A45216" w:rsidP="009E58BA">
      <w:pPr>
        <w:spacing w:before="120" w:after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A45216">
        <w:rPr>
          <w:rFonts w:ascii="Arial" w:hAnsi="Arial"/>
          <w:b/>
          <w:color w:val="FF0000"/>
          <w:sz w:val="22"/>
          <w:szCs w:val="22"/>
        </w:rPr>
        <w:t xml:space="preserve">Wykonywanie drobnych robót remontowych w zakresie robót budowlanych, sanitarnych i elektrycznych w placówkach oświatowych na terenie </w:t>
      </w:r>
      <w:r w:rsidRPr="00A45216">
        <w:rPr>
          <w:rFonts w:ascii="Arial" w:hAnsi="Arial"/>
          <w:b/>
          <w:bCs/>
          <w:color w:val="FF0000"/>
          <w:sz w:val="22"/>
          <w:szCs w:val="22"/>
        </w:rPr>
        <w:t>Dzielnicy Praga-Południe m.st. Warszawy</w:t>
      </w:r>
      <w:bookmarkStart w:id="0" w:name="_GoBack"/>
      <w:bookmarkEnd w:id="0"/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A45216">
      <w:rPr>
        <w:rFonts w:ascii="Tahoma" w:hAnsi="Tahoma" w:cs="Tahoma"/>
        <w:b/>
        <w:sz w:val="16"/>
        <w:szCs w:val="16"/>
      </w:rPr>
      <w:t>9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E449C"/>
    <w:rsid w:val="007A116C"/>
    <w:rsid w:val="00843B8F"/>
    <w:rsid w:val="008E53A6"/>
    <w:rsid w:val="009B022F"/>
    <w:rsid w:val="009E58BA"/>
    <w:rsid w:val="00A45216"/>
    <w:rsid w:val="00BD5355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93BBE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B5E2A-D90E-4AFB-983D-5824193AA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2018-02-02T07:28:00Z</cp:lastPrinted>
  <dcterms:created xsi:type="dcterms:W3CDTF">2018-02-09T14:10:00Z</dcterms:created>
  <dcterms:modified xsi:type="dcterms:W3CDTF">2018-02-09T14:11:00Z</dcterms:modified>
</cp:coreProperties>
</file>